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1" w:rsidRDefault="00840211">
      <w:pPr>
        <w:pStyle w:val="Standard"/>
        <w:spacing w:after="200" w:line="276" w:lineRule="auto"/>
        <w:ind w:right="-74"/>
        <w:rPr>
          <w:rFonts w:eastAsia="Calibri" w:cs="Calibri"/>
          <w:color w:val="0070C0"/>
          <w:sz w:val="22"/>
          <w:u w:val="single"/>
        </w:rPr>
      </w:pPr>
      <w:r>
        <w:rPr>
          <w:rFonts w:eastAsia="Calibri" w:cs="Calibri"/>
          <w:color w:val="0070C0"/>
          <w:sz w:val="22"/>
          <w:u w:val="single"/>
        </w:rPr>
        <w:t>2020-21 Dönem 6 Toplum Sağlığı Blok Şablonu (Halk Sağlığı ve Birinci Basamak /Aile Hekimliği Stajları)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918"/>
        <w:gridCol w:w="414"/>
        <w:gridCol w:w="2415"/>
        <w:gridCol w:w="470"/>
        <w:gridCol w:w="1174"/>
        <w:gridCol w:w="636"/>
        <w:gridCol w:w="807"/>
        <w:gridCol w:w="1323"/>
      </w:tblGrid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b/>
                <w:color w:val="auto"/>
                <w:sz w:val="22"/>
              </w:rPr>
            </w:pPr>
            <w:r>
              <w:rPr>
                <w:rFonts w:eastAsia="Calibri" w:cs="Calibri"/>
                <w:b/>
                <w:color w:val="auto"/>
                <w:sz w:val="22"/>
              </w:rPr>
              <w:t>GRUP 4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HAFTALAR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B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1.</w:t>
            </w: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Halk Sağlığı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2.</w:t>
            </w: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Halk Sağlığı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3.hafta</w:t>
            </w: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Halk Sağlığı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4-B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4-A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0211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2-B1(8)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Ragıp Çetinkaya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Tetyana Syrotenko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Uğur Aydın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Yasin Öndem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Yeşim Gezer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Zekeriya Tugay Doğan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Ahmet  Araz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</w:pPr>
            <w:r>
              <w:rPr>
                <w:rFonts w:eastAsia="Calibri" w:cs="Calibri"/>
                <w:color w:val="auto"/>
                <w:sz w:val="20"/>
              </w:rPr>
              <w:t>Salih Çağdaşer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2-B2(9)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Babak Ahmadkhanpour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Seid Alnuman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Durmuş Bora Çağer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Semiye Çayanoğlu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 xml:space="preserve">Öykü </w:t>
            </w:r>
            <w:r>
              <w:rPr>
                <w:rFonts w:eastAsia="Calibri" w:cs="Calibri"/>
                <w:color w:val="auto"/>
                <w:sz w:val="20"/>
              </w:rPr>
              <w:t>Zaimoğulları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Zöhre Okur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Ammar Juma   Adhan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Komeil Hatami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</w:pPr>
            <w:r>
              <w:rPr>
                <w:rFonts w:eastAsia="Calibri" w:cs="Calibri"/>
                <w:color w:val="auto"/>
                <w:sz w:val="20"/>
              </w:rPr>
              <w:t>Omar Al-Je</w:t>
            </w:r>
            <w:bookmarkStart w:id="0" w:name="_GoBack"/>
            <w:bookmarkEnd w:id="0"/>
            <w:r>
              <w:rPr>
                <w:rFonts w:eastAsia="Calibri" w:cs="Calibri"/>
                <w:color w:val="auto"/>
                <w:sz w:val="20"/>
              </w:rPr>
              <w:t>boori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2-A1 (10)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Ali Şükrü Küp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Başak Görüşün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Behlül Tuncer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Benginur  Sökmen</w:t>
            </w:r>
          </w:p>
          <w:p w:rsidR="00B57921" w:rsidRDefault="00840211">
            <w:pPr>
              <w:pStyle w:val="Standard"/>
              <w:ind w:right="-170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Cengizhan Tanman-</w:t>
            </w:r>
            <w:r>
              <w:rPr>
                <w:rFonts w:eastAsia="Calibri" w:cs="Calibri"/>
                <w:i/>
                <w:iCs/>
                <w:color w:val="auto"/>
                <w:sz w:val="20"/>
              </w:rPr>
              <w:t>il dışı ASM rotasyonu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Emine Dönmez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Sena İlhan-</w:t>
            </w:r>
            <w:r>
              <w:rPr>
                <w:rFonts w:eastAsia="Calibri" w:cs="Calibri"/>
                <w:i/>
                <w:iCs/>
                <w:color w:val="auto"/>
                <w:sz w:val="20"/>
              </w:rPr>
              <w:t>il dışı ASM rotasyonu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Emrehan Yetkin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Fatih</w:t>
            </w:r>
            <w:r>
              <w:rPr>
                <w:rFonts w:eastAsia="Calibri" w:cs="Calibri"/>
                <w:color w:val="auto"/>
                <w:sz w:val="20"/>
              </w:rPr>
              <w:t xml:space="preserve"> Özgün</w:t>
            </w:r>
          </w:p>
          <w:p w:rsidR="00B57921" w:rsidRDefault="00840211">
            <w:pPr>
              <w:pStyle w:val="Standard"/>
            </w:pPr>
            <w:r>
              <w:rPr>
                <w:rFonts w:eastAsia="Calibri" w:cs="Calibri"/>
                <w:color w:val="auto"/>
                <w:sz w:val="20"/>
              </w:rPr>
              <w:t>Furkan Efe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Grup2-A2(9)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Furkan Savaş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Hatice Daşdemir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Ilgar Zeynalov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Mehmet Şirin Çetin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Mesut Öztürk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Metehan Küçük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Muhammed Salih Hancı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Nurettin  Salkım</w:t>
            </w:r>
            <w:r>
              <w:rPr>
                <w:rFonts w:eastAsia="Calibri" w:cs="Calibri"/>
                <w:color w:val="auto"/>
                <w:sz w:val="20"/>
              </w:rPr>
              <w:tab/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Oğuzhan Turhan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4. 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22.03.2021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5.hafta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29.03.2021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6.hafta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05.04.2021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7.hafta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12.04.2021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  <w:p w:rsidR="00B57921" w:rsidRDefault="00B5792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0211"/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 xml:space="preserve">14.04.Çarşamba 14.00-16.30 saatinde tüm gruplar için Adli Tıp AD tarafından Adli Otopsi ve Rapor yazımında BB </w:t>
            </w:r>
            <w:r>
              <w:rPr>
                <w:rFonts w:eastAsia="Calibri" w:cs="Calibri"/>
                <w:color w:val="auto"/>
                <w:sz w:val="20"/>
              </w:rPr>
              <w:t>hekiminin yükümlülükleri konulu dersler yapılacaktır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8.hafta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19.04.2021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9.hafta</w:t>
            </w:r>
          </w:p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26.04.2021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Her stajın son 2 günü (29-30 nisan günlerinde)</w:t>
            </w: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Halk Sağlığı COPC araştırma ve projelerinin sunumu için tüm gruplar Başıbüyük’te </w:t>
            </w:r>
            <w:r>
              <w:rPr>
                <w:rFonts w:eastAsia="Calibri" w:cs="Calibri"/>
                <w:color w:val="auto"/>
                <w:sz w:val="22"/>
              </w:rPr>
              <w:t>olacak ya da sunumlar on-line yapılacaktır. Halk Sağlığı Staj başkanı tarafından detaylar duyurulur.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B57921" w:rsidRDefault="00B57921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57921" w:rsidRDefault="00840211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Stajın ilk günü ilgili kliniğin intern eğitim sorumlu öğretim üyesi tarafından staj akışı hakkında bilgi verilecektir.</w:t>
      </w:r>
    </w:p>
    <w:p w:rsidR="00B57921" w:rsidRDefault="00840211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Hafta sonu ve tatil </w:t>
      </w:r>
      <w:r>
        <w:rPr>
          <w:rFonts w:eastAsia="Calibri" w:cs="Calibri"/>
          <w:color w:val="auto"/>
          <w:sz w:val="22"/>
        </w:rPr>
        <w:t>günleri staja dahildir.</w:t>
      </w:r>
    </w:p>
    <w:p w:rsidR="00B57921" w:rsidRDefault="00840211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Bölümler nöbet düzenlemelerini kendi iç programlarında yaparlar.  </w:t>
      </w:r>
    </w:p>
    <w:p w:rsidR="00B57921" w:rsidRDefault="00840211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Aile Hekimliği poliklinik haftasında her Çarşamba 13.30-16.30 arasındaki seminer programı ile ilgili güncel bilgiyi eğiticilerden alınız.  </w:t>
      </w:r>
    </w:p>
    <w:p w:rsidR="00B57921" w:rsidRDefault="00B57921">
      <w:pPr>
        <w:pStyle w:val="Standard"/>
        <w:ind w:left="720"/>
        <w:rPr>
          <w:rFonts w:eastAsia="Calibri" w:cs="Calibri"/>
          <w:color w:val="auto"/>
          <w:sz w:val="22"/>
        </w:rPr>
      </w:pPr>
    </w:p>
    <w:p w:rsidR="00B57921" w:rsidRDefault="00B57921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</w:rPr>
      </w:pPr>
    </w:p>
    <w:p w:rsidR="00B57921" w:rsidRDefault="00840211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 xml:space="preserve"> </w:t>
      </w:r>
    </w:p>
    <w:p w:rsidR="00B57921" w:rsidRDefault="00B57921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</w:rPr>
      </w:pPr>
    </w:p>
    <w:p w:rsidR="00B57921" w:rsidRDefault="00840211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lastRenderedPageBreak/>
        <w:t>DUYURU!</w:t>
      </w:r>
    </w:p>
    <w:p w:rsidR="00B57921" w:rsidRDefault="00840211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Şehir dışı </w:t>
      </w:r>
      <w:r>
        <w:rPr>
          <w:rFonts w:eastAsia="Calibri" w:cs="Calibri"/>
          <w:color w:val="auto"/>
          <w:sz w:val="22"/>
        </w:rPr>
        <w:t>ya da Avrupa yakasında ikamet eden 6.dönem öğrencilerinin yaklaşık 1 hafta süren ASM rotasyonunu MÜPEAH yakınındaki anlaşmalı ASM’ler  ya da Tuzla E-ASM yerine ikametgahlarına yakın bir ASM’ye, kendilerinden sorumlu olacak Aile Hekiminin isim, kurum adı ve</w:t>
      </w:r>
      <w:r>
        <w:rPr>
          <w:rFonts w:eastAsia="Calibri" w:cs="Calibri"/>
          <w:color w:val="auto"/>
          <w:sz w:val="22"/>
        </w:rPr>
        <w:t xml:space="preserve"> iletişim no ile birlikte sözü geçen ASM’de tamamlamak istediklerine dair dilekçeleri ile birlikte AH’liği stajı başlamadan en geç 1 ay önce Tıp fakültesi Dekanlığına başvurmaları gerekmektedir.</w:t>
      </w:r>
    </w:p>
    <w:p w:rsidR="00B57921" w:rsidRDefault="00840211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  <w:sectPr w:rsidR="00B57921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eastAsia="Calibri" w:cs="Calibri"/>
          <w:color w:val="auto"/>
          <w:sz w:val="22"/>
        </w:rPr>
        <w:t>Bilginize,</w:t>
      </w:r>
    </w:p>
    <w:p w:rsidR="00B57921" w:rsidRDefault="00840211">
      <w:pPr>
        <w:pStyle w:val="Balk1"/>
      </w:pPr>
      <w:r>
        <w:rPr>
          <w:rFonts w:ascii="Microsoft Sans Serif" w:hAnsi="Microsoft Sans Serif" w:cs="Microsoft Sans Serif"/>
          <w:b w:val="0"/>
          <w:noProof/>
          <w:color w:val="FFFFFF"/>
          <w:sz w:val="20"/>
        </w:rPr>
        <w:lastRenderedPageBreak/>
        <w:drawing>
          <wp:inline distT="0" distB="0" distL="0" distR="0">
            <wp:extent cx="645120" cy="679320"/>
            <wp:effectExtent l="0" t="0" r="2580" b="6480"/>
            <wp:docPr id="1" name="Görüntü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20" cy="67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ahoma"/>
          <w:sz w:val="18"/>
        </w:rPr>
        <w:t xml:space="preserve"> </w:t>
      </w:r>
      <w:r>
        <w:rPr>
          <w:szCs w:val="32"/>
        </w:rPr>
        <w:t>Internler İçin Birinci Basamak/</w:t>
      </w:r>
      <w:r>
        <w:rPr>
          <w:szCs w:val="32"/>
        </w:rPr>
        <w:t>Aile Hekimliği</w:t>
      </w:r>
      <w:r>
        <w:rPr>
          <w:szCs w:val="32"/>
        </w:rPr>
        <w:t xml:space="preserve"> S</w:t>
      </w:r>
      <w:r>
        <w:rPr>
          <w:szCs w:val="32"/>
        </w:rPr>
        <w:t xml:space="preserve">tajı </w:t>
      </w:r>
      <w:r>
        <w:rPr>
          <w:szCs w:val="32"/>
        </w:rPr>
        <w:t>Değerlendirme Formu</w:t>
      </w:r>
    </w:p>
    <w:p w:rsidR="00B57921" w:rsidRDefault="00840211">
      <w:pPr>
        <w:pStyle w:val="Standard"/>
      </w:pPr>
      <w:r>
        <w:rPr>
          <w:b/>
          <w:i/>
          <w:u w:val="single"/>
        </w:rPr>
        <w:t>ÖNEMLİ NOT</w:t>
      </w:r>
      <w:r>
        <w:rPr>
          <w:b/>
          <w:i/>
        </w:rPr>
        <w:t xml:space="preserve">: </w:t>
      </w:r>
      <w:r>
        <w:rPr>
          <w:i/>
        </w:rPr>
        <w:t>(Bu formun, eğitimden sorumlu aile hekimi tarafından doldurulması ve kapalı bir zarf içinde Aile Hekimliği Anabilim Dalı'na ulaştırılması beklenmektedir. İnternler eliyle ulaştırılabilir.)</w:t>
      </w:r>
    </w:p>
    <w:p w:rsidR="00B57921" w:rsidRDefault="00B57921">
      <w:pPr>
        <w:pStyle w:val="Standard"/>
        <w:jc w:val="center"/>
      </w:pPr>
    </w:p>
    <w:tbl>
      <w:tblPr>
        <w:tblW w:w="954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175"/>
        <w:gridCol w:w="699"/>
        <w:gridCol w:w="256"/>
        <w:gridCol w:w="512"/>
        <w:gridCol w:w="373"/>
        <w:gridCol w:w="536"/>
        <w:gridCol w:w="153"/>
        <w:gridCol w:w="207"/>
        <w:gridCol w:w="535"/>
        <w:gridCol w:w="259"/>
        <w:gridCol w:w="276"/>
        <w:gridCol w:w="535"/>
        <w:gridCol w:w="535"/>
        <w:gridCol w:w="547"/>
        <w:gridCol w:w="532"/>
      </w:tblGrid>
      <w:tr w:rsidR="00B5792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 w:after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İnternün  Adı ve Soyadı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 w:after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Progmamın Başlama ve Bitiş Tarihleri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..… / ………………../………………  _  ..… / ………………../………………  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Değerlendirme Ölçütleri (Yeterlikler)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ind w:left="-108" w:right="-108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Gözlenmedi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Beklentinin altı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ind w:left="-108" w:right="-108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Sınırda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ind w:right="-108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Beklenti düzeyinde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Üst düzeyde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0211"/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0211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9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tam tutulması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Rotasyon alanına özgü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tıbbi bilgi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düzeyi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Rotasyon alanına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özgü klinik beceri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düzeyi</w:t>
            </w:r>
          </w:p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i/>
                <w:sz w:val="20"/>
              </w:rPr>
            </w:pPr>
            <w:r>
              <w:rPr>
                <w:rFonts w:ascii="Microsoft Sans Serif" w:hAnsi="Microsoft Sans Serif" w:cs="Microsoft Sans Serif"/>
                <w:i/>
                <w:sz w:val="20"/>
              </w:rPr>
              <w:t>(Öykü alma ve fizik muayene)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Tanı, tedavi ve izlem planları oluşturma sırasında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kanıta dayalı yaklaşım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Tanıya yönelik işlemlerin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akılcı seçimi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iletişim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içindeki tutum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>İş gününe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devamlılık ve disiplin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Klinik sürecin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etkin organizasyonunda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görev alma ve takip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vedeğerleri gözetme, uygun tutum ve davranış sergileme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i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0"/>
              </w:rPr>
              <w:t>GENEL DEĞERLENDIRME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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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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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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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Değerlendirenin Adı Soyadı</w:t>
            </w:r>
          </w:p>
        </w:tc>
        <w:tc>
          <w:tcPr>
            <w:tcW w:w="6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Değerlendirme Tarihi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İmza: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sz w:val="20"/>
              </w:rPr>
            </w:pPr>
          </w:p>
          <w:p w:rsidR="00B57921" w:rsidRDefault="00B57921">
            <w:pPr>
              <w:pStyle w:val="Standard"/>
              <w:spacing w:before="12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İnternün Rotasyon Boyunca Sergilediği Performansa Yönelik Görüş ve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Değerlendirmeler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ind w:left="-10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İnternün Güçlü Yönleri</w:t>
            </w:r>
          </w:p>
        </w:tc>
        <w:tc>
          <w:tcPr>
            <w:tcW w:w="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840211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İnternün Geliştirmesi Gereken Yönleri</w:t>
            </w:r>
          </w:p>
        </w:tc>
      </w:tr>
      <w:tr w:rsidR="00B57921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ind w:left="-100"/>
              <w:rPr>
                <w:rFonts w:ascii="Microsoft Sans Serif" w:hAnsi="Microsoft Sans Serif" w:cs="Microsoft Sans Serif"/>
                <w:b/>
                <w:sz w:val="20"/>
              </w:rPr>
            </w:pPr>
          </w:p>
          <w:p w:rsidR="00B57921" w:rsidRDefault="00B57921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921" w:rsidRDefault="00B57921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</w:tbl>
    <w:p w:rsidR="00B57921" w:rsidRDefault="00B57921">
      <w:pPr>
        <w:pStyle w:val="Standard"/>
        <w:spacing w:after="120" w:line="276" w:lineRule="auto"/>
        <w:rPr>
          <w:rFonts w:eastAsia="Calibri" w:cs="Calibri"/>
          <w:color w:val="auto"/>
          <w:sz w:val="22"/>
        </w:rPr>
      </w:pPr>
    </w:p>
    <w:sectPr w:rsidR="00B579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1" w:rsidRDefault="00840211">
      <w:r>
        <w:separator/>
      </w:r>
    </w:p>
  </w:endnote>
  <w:endnote w:type="continuationSeparator" w:id="0">
    <w:p w:rsidR="00840211" w:rsidRDefault="008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1" w:rsidRDefault="00840211">
      <w:r>
        <w:separator/>
      </w:r>
    </w:p>
  </w:footnote>
  <w:footnote w:type="continuationSeparator" w:id="0">
    <w:p w:rsidR="00840211" w:rsidRDefault="0084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1C0"/>
    <w:multiLevelType w:val="multilevel"/>
    <w:tmpl w:val="6444F15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921"/>
    <w:rsid w:val="00210BE6"/>
    <w:rsid w:val="00840211"/>
    <w:rsid w:val="00B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spacing w:before="240" w:after="120" w:line="360" w:lineRule="auto"/>
      <w:jc w:val="center"/>
      <w:outlineLvl w:val="0"/>
    </w:pPr>
    <w:rPr>
      <w:rFonts w:ascii="Tahoma" w:hAnsi="Tahoma"/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spacing w:before="240" w:after="120" w:line="360" w:lineRule="auto"/>
      <w:jc w:val="center"/>
      <w:outlineLvl w:val="0"/>
    </w:pPr>
    <w:rPr>
      <w:rFonts w:ascii="Tahoma" w:hAnsi="Tahoma"/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KIROĞLU</dc:creator>
  <cp:lastModifiedBy>Toplantı Salonu</cp:lastModifiedBy>
  <cp:revision>1</cp:revision>
  <dcterms:created xsi:type="dcterms:W3CDTF">2021-03-26T07:08:00Z</dcterms:created>
  <dcterms:modified xsi:type="dcterms:W3CDTF">2021-03-26T07:08:00Z</dcterms:modified>
</cp:coreProperties>
</file>