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4027"/>
        <w:gridCol w:w="1843"/>
        <w:gridCol w:w="283"/>
        <w:gridCol w:w="1559"/>
      </w:tblGrid>
      <w:tr w:rsidR="00116A51" w:rsidRPr="00EA717E" w:rsidTr="001B4488">
        <w:trPr>
          <w:cantSplit/>
          <w:trHeight w:val="218"/>
        </w:trPr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116A51" w:rsidRPr="00EA717E" w:rsidRDefault="00116A51" w:rsidP="001B4488">
            <w:pPr>
              <w:pStyle w:val="stBilgi"/>
              <w:jc w:val="center"/>
              <w:rPr>
                <w:rFonts w:cs="Arial"/>
                <w:color w:val="0000FF"/>
              </w:rPr>
            </w:pPr>
            <w:r w:rsidRPr="00EA717E">
              <w:rPr>
                <w:rFonts w:cs="Arial"/>
                <w:noProof/>
                <w:color w:val="0000FF"/>
                <w:lang w:eastAsia="tr-TR"/>
              </w:rPr>
              <w:drawing>
                <wp:inline distT="0" distB="0" distL="0" distR="0" wp14:anchorId="6B06B902" wp14:editId="7BF46CA5">
                  <wp:extent cx="725557" cy="725557"/>
                  <wp:effectExtent l="0" t="0" r="0" b="0"/>
                  <wp:docPr id="3" name="Resim 3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47" cy="72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vMerge w:val="restart"/>
            <w:shd w:val="clear" w:color="auto" w:fill="FFFFFF" w:themeFill="background1"/>
            <w:vAlign w:val="center"/>
          </w:tcPr>
          <w:p w:rsidR="00116A51" w:rsidRDefault="00116A51" w:rsidP="001B4488">
            <w:pPr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23131D">
              <w:rPr>
                <w:rFonts w:asciiTheme="minorHAnsi" w:hAnsiTheme="minorHAnsi" w:cs="Arial"/>
                <w:b/>
                <w:sz w:val="28"/>
                <w:szCs w:val="20"/>
              </w:rPr>
              <w:t>TIP FAKÜLTESİ</w:t>
            </w:r>
          </w:p>
          <w:p w:rsidR="00116A51" w:rsidRPr="00667452" w:rsidRDefault="00116A51" w:rsidP="001B4488">
            <w:pPr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Bilgi İşlem</w:t>
            </w:r>
            <w:r w:rsidRPr="0026723E"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667452">
              <w:rPr>
                <w:rFonts w:asciiTheme="minorHAnsi" w:hAnsiTheme="minorHAnsi" w:cs="Arial"/>
                <w:b/>
                <w:sz w:val="28"/>
                <w:szCs w:val="20"/>
              </w:rPr>
              <w:t>Görev Tanımı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pStyle w:val="stBilgi"/>
              <w:rPr>
                <w:rFonts w:cs="Arial"/>
                <w:sz w:val="20"/>
                <w:szCs w:val="20"/>
              </w:rPr>
            </w:pPr>
            <w:r w:rsidRPr="006E2809">
              <w:rPr>
                <w:rFonts w:cs="Arial"/>
                <w:sz w:val="20"/>
                <w:szCs w:val="20"/>
              </w:rPr>
              <w:t>DOKÜMAN NO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2809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16A51" w:rsidRPr="00EA717E" w:rsidTr="001B4488">
        <w:trPr>
          <w:cantSplit/>
          <w:trHeight w:val="218"/>
        </w:trPr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116A51" w:rsidRPr="00EA717E" w:rsidRDefault="00116A51" w:rsidP="001B4488">
            <w:pPr>
              <w:pStyle w:val="stBilgi"/>
              <w:jc w:val="center"/>
              <w:rPr>
                <w:rFonts w:cs="Arial"/>
                <w:noProof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jc w:val="center"/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pStyle w:val="stBilgi"/>
              <w:rPr>
                <w:rFonts w:cs="Arial"/>
                <w:sz w:val="20"/>
                <w:szCs w:val="20"/>
              </w:rPr>
            </w:pPr>
            <w:r w:rsidRPr="006E2809">
              <w:rPr>
                <w:rFonts w:cs="Arial"/>
                <w:sz w:val="20"/>
                <w:szCs w:val="20"/>
              </w:rPr>
              <w:t>YAYIN TARİHİ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2809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27.10.2017</w:t>
            </w:r>
          </w:p>
        </w:tc>
      </w:tr>
      <w:tr w:rsidR="00116A51" w:rsidRPr="00EA717E" w:rsidTr="001B4488">
        <w:trPr>
          <w:cantSplit/>
          <w:trHeight w:val="218"/>
        </w:trPr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116A51" w:rsidRPr="00EA717E" w:rsidRDefault="00116A51" w:rsidP="001B4488">
            <w:pPr>
              <w:pStyle w:val="stBilgi"/>
              <w:jc w:val="center"/>
              <w:rPr>
                <w:rFonts w:cs="Arial"/>
                <w:noProof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jc w:val="center"/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pStyle w:val="stBilgi"/>
              <w:rPr>
                <w:rFonts w:cs="Arial"/>
                <w:sz w:val="20"/>
                <w:szCs w:val="20"/>
              </w:rPr>
            </w:pPr>
            <w:r w:rsidRPr="006E2809">
              <w:rPr>
                <w:rFonts w:cs="Arial"/>
                <w:sz w:val="20"/>
                <w:szCs w:val="20"/>
              </w:rPr>
              <w:t>REVİZYON TARİHİ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2809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08.12.2023</w:t>
            </w:r>
          </w:p>
        </w:tc>
      </w:tr>
      <w:tr w:rsidR="00116A51" w:rsidRPr="00EA717E" w:rsidTr="001B4488">
        <w:trPr>
          <w:cantSplit/>
          <w:trHeight w:val="218"/>
        </w:trPr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116A51" w:rsidRPr="00EA717E" w:rsidRDefault="00116A51" w:rsidP="001B4488">
            <w:pPr>
              <w:pStyle w:val="stBilgi"/>
              <w:jc w:val="center"/>
              <w:rPr>
                <w:rFonts w:cs="Arial"/>
                <w:noProof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jc w:val="center"/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pStyle w:val="stBilgi"/>
              <w:rPr>
                <w:rFonts w:cs="Arial"/>
                <w:sz w:val="20"/>
                <w:szCs w:val="20"/>
              </w:rPr>
            </w:pPr>
            <w:r w:rsidRPr="006E2809">
              <w:rPr>
                <w:rFonts w:cs="Arial"/>
                <w:sz w:val="20"/>
                <w:szCs w:val="20"/>
              </w:rPr>
              <w:t>REVİZYON 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2809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03</w:t>
            </w:r>
          </w:p>
        </w:tc>
      </w:tr>
      <w:tr w:rsidR="00116A51" w:rsidRPr="00EA717E" w:rsidTr="001B4488">
        <w:trPr>
          <w:cantSplit/>
          <w:trHeight w:val="188"/>
        </w:trPr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116A51" w:rsidRPr="00EA717E" w:rsidRDefault="00116A51" w:rsidP="001B4488">
            <w:pPr>
              <w:pStyle w:val="stBilgi"/>
              <w:jc w:val="center"/>
              <w:rPr>
                <w:rFonts w:cs="Arial"/>
                <w:noProof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jc w:val="center"/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pStyle w:val="stBilgi"/>
              <w:rPr>
                <w:rFonts w:cs="Arial"/>
                <w:sz w:val="20"/>
                <w:szCs w:val="20"/>
              </w:rPr>
            </w:pPr>
            <w:r w:rsidRPr="006E2809">
              <w:rPr>
                <w:rFonts w:cs="Arial"/>
                <w:sz w:val="20"/>
                <w:szCs w:val="20"/>
              </w:rPr>
              <w:t>SAYFA NO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2809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16A51" w:rsidRPr="006E2809" w:rsidRDefault="00116A51" w:rsidP="001B44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2809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Pr="006E2809">
              <w:rPr>
                <w:rFonts w:asciiTheme="minorHAnsi" w:hAnsiTheme="minorHAnsi" w:cs="Arial"/>
                <w:sz w:val="20"/>
                <w:szCs w:val="20"/>
              </w:rPr>
              <w:instrText xml:space="preserve"> PAGE  \* Arabic  \* MERGEFORMAT </w:instrText>
            </w:r>
            <w:r w:rsidRPr="006E280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  <w:r w:rsidRPr="006E280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E2809"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</w:tbl>
    <w:p w:rsidR="00A55F36" w:rsidRDefault="00A55F3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70"/>
      </w:tblGrid>
      <w:tr w:rsidR="00A55F36" w:rsidTr="00767D8F">
        <w:trPr>
          <w:trHeight w:val="38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B037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E84F92">
            <w:pPr>
              <w:spacing w:after="0"/>
            </w:pPr>
            <w:r>
              <w:t>Bilgi İşlem</w:t>
            </w:r>
          </w:p>
        </w:tc>
      </w:tr>
      <w:tr w:rsidR="00A55F36" w:rsidTr="00767D8F">
        <w:trPr>
          <w:trHeight w:val="40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B037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</w:t>
            </w:r>
            <w:r w:rsidR="0091533C">
              <w:rPr>
                <w:rFonts w:ascii="Times New Roman" w:hAnsi="Times New Roman"/>
                <w:b/>
              </w:rPr>
              <w:t>U</w:t>
            </w:r>
            <w:r>
              <w:rPr>
                <w:rFonts w:ascii="Times New Roman" w:hAnsi="Times New Roman"/>
                <w:b/>
              </w:rPr>
              <w:t>nvanı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91533C">
            <w:pPr>
              <w:spacing w:after="0"/>
            </w:pPr>
            <w:r>
              <w:t>Birim personeli</w:t>
            </w:r>
          </w:p>
        </w:tc>
      </w:tr>
      <w:tr w:rsidR="00A55F36" w:rsidTr="00767D8F">
        <w:trPr>
          <w:trHeight w:val="4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B037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3C" w:rsidRDefault="0091533C" w:rsidP="0091533C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Fakülte Faaliyetlerinin yürütülmesinde Fakülte Sekreterine karşı sorumlu olmak</w:t>
            </w:r>
          </w:p>
          <w:p w:rsidR="0091533C" w:rsidRDefault="0091533C" w:rsidP="0091533C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Aşağıda belirtilen görev sorumlulukları gerçekleştirmek</w:t>
            </w:r>
          </w:p>
          <w:p w:rsidR="0091533C" w:rsidRDefault="0091533C" w:rsidP="0091533C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Faaliyetlerin gerçekleştirilmesi için gerekli araç gereci kullanmak</w:t>
            </w:r>
          </w:p>
          <w:p w:rsidR="0091533C" w:rsidRDefault="0091533C" w:rsidP="0091533C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Mevzuatta belirtilen genel niteliklere sahip olmak</w:t>
            </w:r>
          </w:p>
          <w:p w:rsidR="00A55F36" w:rsidRDefault="00A55F36">
            <w:pPr>
              <w:spacing w:after="0"/>
            </w:pPr>
          </w:p>
        </w:tc>
      </w:tr>
      <w:tr w:rsidR="00A55F36" w:rsidTr="00767D8F">
        <w:trPr>
          <w:trHeight w:val="42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B037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3C" w:rsidRDefault="0091533C" w:rsidP="0091533C">
            <w:pPr>
              <w:spacing w:after="0"/>
            </w:pPr>
            <w:r>
              <w:t>Görevin gerektirdiği;</w:t>
            </w:r>
          </w:p>
          <w:p w:rsidR="0091533C" w:rsidRDefault="0091533C" w:rsidP="0091533C">
            <w:pPr>
              <w:pStyle w:val="ListeParagraf"/>
              <w:numPr>
                <w:ilvl w:val="0"/>
                <w:numId w:val="4"/>
              </w:numPr>
              <w:spacing w:after="0"/>
            </w:pPr>
            <w:r>
              <w:t>Resmi Yazışma Usul ve Esaslara haiz olmak</w:t>
            </w:r>
          </w:p>
          <w:p w:rsidR="0091533C" w:rsidRDefault="0091533C" w:rsidP="0091533C">
            <w:pPr>
              <w:pStyle w:val="ListeParagraf"/>
              <w:numPr>
                <w:ilvl w:val="0"/>
                <w:numId w:val="4"/>
              </w:numPr>
              <w:spacing w:after="0"/>
            </w:pPr>
            <w:r>
              <w:t>Mevzuata haiz olmak</w:t>
            </w:r>
          </w:p>
          <w:p w:rsidR="0091533C" w:rsidRDefault="0091533C" w:rsidP="0091533C">
            <w:pPr>
              <w:pStyle w:val="ListeParagraf"/>
              <w:numPr>
                <w:ilvl w:val="0"/>
                <w:numId w:val="4"/>
              </w:numPr>
              <w:spacing w:after="0"/>
            </w:pPr>
            <w:r>
              <w:t>İş disiplinine sahip olmak</w:t>
            </w:r>
          </w:p>
          <w:p w:rsidR="00A55F36" w:rsidRDefault="0091533C" w:rsidP="0091533C">
            <w:pPr>
              <w:spacing w:after="0"/>
            </w:pPr>
            <w:r>
              <w:t>Değişim ve gelişime açık olmak</w:t>
            </w:r>
          </w:p>
        </w:tc>
      </w:tr>
      <w:tr w:rsidR="00A55F36" w:rsidTr="00767D8F">
        <w:trPr>
          <w:trHeight w:val="4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B037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91533C">
            <w:pPr>
              <w:spacing w:after="0"/>
            </w:pPr>
            <w:r>
              <w:t>İhtiyaç duyulan diğer idari ve akademik birimler</w:t>
            </w:r>
          </w:p>
        </w:tc>
      </w:tr>
      <w:tr w:rsidR="00A55F36" w:rsidTr="00767D8F">
        <w:trPr>
          <w:trHeight w:val="41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B037E2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91533C">
            <w:pPr>
              <w:spacing w:after="0"/>
            </w:pPr>
            <w:r>
              <w:t>Göreve haiz</w:t>
            </w:r>
            <w:r w:rsidR="0078311A">
              <w:t xml:space="preserve"> personel</w:t>
            </w:r>
          </w:p>
        </w:tc>
      </w:tr>
      <w:tr w:rsidR="00A55F36" w:rsidTr="00767D8F">
        <w:trPr>
          <w:trHeight w:val="99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B037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91533C">
            <w:pPr>
              <w:spacing w:after="0"/>
            </w:pPr>
            <w:r>
              <w:t>İlgili mevzuat çerçevesinde Üniversitemiz amaç, hedef ve ilkelerine uygun olarak Tıp Fakültesi Bilgi İşlem birimindeki faaliyetleri yerine getirmek/koordine etmek/sonuçlandırmak.</w:t>
            </w:r>
          </w:p>
        </w:tc>
      </w:tr>
      <w:tr w:rsidR="00A55F36" w:rsidTr="00767D8F">
        <w:trPr>
          <w:trHeight w:val="593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B037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Temel Görev ve Sorumluluklar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7EC" w:rsidRPr="00E217EC" w:rsidRDefault="00E217EC" w:rsidP="008A4CDC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>
              <w:t>Mevcut potansiyelinin tümünü kullanarak eğitim</w:t>
            </w:r>
            <w:r w:rsidR="00767D8F">
              <w:t xml:space="preserve"> (</w:t>
            </w:r>
            <w:r w:rsidR="000A6AFB">
              <w:t>çevrimiçi</w:t>
            </w:r>
            <w:r w:rsidR="00767D8F">
              <w:t xml:space="preserve"> ve yüz</w:t>
            </w:r>
            <w:r w:rsidR="000A6AFB">
              <w:t xml:space="preserve"> </w:t>
            </w:r>
            <w:r w:rsidR="00767D8F">
              <w:t>yüze)</w:t>
            </w:r>
            <w:r>
              <w:t xml:space="preserve"> ve öğretim hizmetleri ile idari hizmetlerin aksamadan yürütülmesinin</w:t>
            </w:r>
            <w:r w:rsidR="007D1982">
              <w:t xml:space="preserve"> sağlanması,</w:t>
            </w:r>
          </w:p>
          <w:p w:rsidR="00E84F92" w:rsidRDefault="00E84F92" w:rsidP="008A4CDC">
            <w:pPr>
              <w:pStyle w:val="Stil1"/>
              <w:numPr>
                <w:ilvl w:val="0"/>
                <w:numId w:val="2"/>
              </w:numPr>
              <w:tabs>
                <w:tab w:val="clear" w:pos="1155"/>
                <w:tab w:val="left" w:pos="1701"/>
                <w:tab w:val="left" w:pos="1843"/>
              </w:tabs>
              <w:spacing w:after="0" w:line="276" w:lineRule="auto"/>
              <w:rPr>
                <w:b w:val="0"/>
              </w:rPr>
            </w:pPr>
            <w:r w:rsidRPr="00E84F92">
              <w:rPr>
                <w:b w:val="0"/>
              </w:rPr>
              <w:t>Fakültede yapılan panel, kurs ve toplantılar için katılımcılara verilmek üzere Teşekkür ve Ka</w:t>
            </w:r>
            <w:r w:rsidR="00767D8F">
              <w:rPr>
                <w:b w:val="0"/>
              </w:rPr>
              <w:t>tılım Belgelerinin hazırlanması, web sitesinden duyurularının yapılması</w:t>
            </w:r>
            <w:r w:rsidR="007D1982">
              <w:rPr>
                <w:b w:val="0"/>
              </w:rPr>
              <w:t>,</w:t>
            </w:r>
          </w:p>
          <w:p w:rsidR="00C16567" w:rsidRDefault="00C16567" w:rsidP="00C16567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>
              <w:t>Fakülte web sayfasını hazırlanması, güncellenmesi ve gerekli değişiklikleri yapılması, Bağlı olduğu üst yöneticilerinin bilgisi doğrultusunda web sayfasında duyuru, ilan vb. paylaşımların yapılması,</w:t>
            </w:r>
          </w:p>
          <w:p w:rsidR="00E84F92" w:rsidRDefault="00E84F92" w:rsidP="008A4CDC">
            <w:pPr>
              <w:pStyle w:val="Stil1"/>
              <w:numPr>
                <w:ilvl w:val="0"/>
                <w:numId w:val="2"/>
              </w:numPr>
              <w:tabs>
                <w:tab w:val="clear" w:pos="1155"/>
                <w:tab w:val="left" w:pos="1701"/>
                <w:tab w:val="left" w:pos="1843"/>
              </w:tabs>
              <w:spacing w:after="0" w:line="276" w:lineRule="auto"/>
              <w:rPr>
                <w:b w:val="0"/>
              </w:rPr>
            </w:pPr>
            <w:r w:rsidRPr="00E84F92">
              <w:rPr>
                <w:b w:val="0"/>
              </w:rPr>
              <w:t>14 Mart Tıp Bayramı, Mezuniyet Töreni vb. etkinlikler için davetiyelerin güncellenmesi Web sayfası ve sosyal medya duyuru için hazırlanan içeriklerin paylaşılması</w:t>
            </w:r>
            <w:r w:rsidR="007D1982">
              <w:rPr>
                <w:b w:val="0"/>
              </w:rPr>
              <w:t>,</w:t>
            </w:r>
          </w:p>
          <w:p w:rsidR="00C16567" w:rsidRPr="00E84F92" w:rsidRDefault="00C16567" w:rsidP="008A4CDC">
            <w:pPr>
              <w:pStyle w:val="Stil1"/>
              <w:numPr>
                <w:ilvl w:val="0"/>
                <w:numId w:val="2"/>
              </w:numPr>
              <w:tabs>
                <w:tab w:val="clear" w:pos="1155"/>
                <w:tab w:val="left" w:pos="1701"/>
                <w:tab w:val="left" w:pos="1843"/>
              </w:tabs>
              <w:spacing w:after="0" w:line="276" w:lineRule="auto"/>
              <w:rPr>
                <w:b w:val="0"/>
              </w:rPr>
            </w:pPr>
            <w:r>
              <w:rPr>
                <w:b w:val="0"/>
              </w:rPr>
              <w:t>Fakültemizin adına tahsis edilen kurumsal elektronik posta adreslerinden gelen postaların takip edilmesi, duyuru yapılması,</w:t>
            </w:r>
          </w:p>
          <w:p w:rsidR="00805640" w:rsidRDefault="00802A74" w:rsidP="008A4CDC">
            <w:pPr>
              <w:pStyle w:val="Stil1"/>
              <w:numPr>
                <w:ilvl w:val="0"/>
                <w:numId w:val="2"/>
              </w:numPr>
              <w:tabs>
                <w:tab w:val="clear" w:pos="1155"/>
                <w:tab w:val="left" w:pos="1701"/>
                <w:tab w:val="left" w:pos="1843"/>
              </w:tabs>
              <w:spacing w:after="0" w:line="276" w:lineRule="auto"/>
            </w:pPr>
            <w:r>
              <w:rPr>
                <w:b w:val="0"/>
              </w:rPr>
              <w:t>Fakültemizin kullanımında bulunan tüm d</w:t>
            </w:r>
            <w:r w:rsidR="00E84F92">
              <w:rPr>
                <w:b w:val="0"/>
              </w:rPr>
              <w:t>ersliklerde görüntü aktarımı</w:t>
            </w:r>
            <w:r w:rsidR="0048424B">
              <w:rPr>
                <w:b w:val="0"/>
              </w:rPr>
              <w:t>nın</w:t>
            </w:r>
            <w:r w:rsidR="00E84F92">
              <w:rPr>
                <w:b w:val="0"/>
              </w:rPr>
              <w:t xml:space="preserve"> </w:t>
            </w:r>
            <w:r w:rsidR="0048424B">
              <w:rPr>
                <w:b w:val="0"/>
              </w:rPr>
              <w:t>sağlanması veya sorunların</w:t>
            </w:r>
            <w:r w:rsidR="00E84F92">
              <w:rPr>
                <w:b w:val="0"/>
              </w:rPr>
              <w:t xml:space="preserve"> giderilmesi</w:t>
            </w:r>
            <w:r w:rsidR="007D1982">
              <w:rPr>
                <w:b w:val="0"/>
              </w:rPr>
              <w:t>,</w:t>
            </w:r>
          </w:p>
          <w:p w:rsidR="00354122" w:rsidRDefault="0087182D" w:rsidP="008A4CDC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>
              <w:t>Dekanlık binasında bulunan asansör, bariyer, plaka tanımlama sistemleriyle ilgili iş ve işlemleri yürütmek,</w:t>
            </w:r>
          </w:p>
          <w:p w:rsidR="00354122" w:rsidRDefault="0087182D" w:rsidP="008A4CDC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>
              <w:t>Bilişim sistemleri ile altyapısına zarar verebilecek ve ileride çalışmasını engelleyecek muhtemel donanımsal veya yazılımsal sorunları tespit etmek ve ihtiyaç duyulan iyileştirmeleri yapmak için gerek</w:t>
            </w:r>
            <w:r w:rsidR="003E228B">
              <w:t>li önlemleri almak ve uygulamak,</w:t>
            </w:r>
          </w:p>
          <w:p w:rsidR="008B405E" w:rsidRDefault="0087182D" w:rsidP="008A4CDC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>
              <w:t>İdarenin bilişim ve teknolojik ihtiyaçlarını</w:t>
            </w:r>
            <w:r w:rsidR="00B35423">
              <w:t>n</w:t>
            </w:r>
            <w:r>
              <w:t xml:space="preserve"> analiz e</w:t>
            </w:r>
            <w:r w:rsidR="00B35423">
              <w:t xml:space="preserve">dilmesi </w:t>
            </w:r>
            <w:r w:rsidR="003E228B">
              <w:t xml:space="preserve">ve </w:t>
            </w:r>
            <w:r w:rsidR="00B35423">
              <w:t>bağlı olduğu üst yöneticilere bildirilmesi,</w:t>
            </w:r>
          </w:p>
          <w:p w:rsidR="008B405E" w:rsidRDefault="0087182D" w:rsidP="008A4CDC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>
              <w:t>Kullanıcılara yerinde ya da uzaktan erişim ile bilgisayar sistemleri ve yan donanımları ile uygulama bazında teknik destek sağlanmak.</w:t>
            </w:r>
          </w:p>
          <w:p w:rsidR="001B737C" w:rsidRDefault="0087182D" w:rsidP="00FD7CB6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>
              <w:t>Tıp Fakültesi Dekanlığı tarafından düzenlenen her türlü etkinliği</w:t>
            </w:r>
            <w:r w:rsidR="00AE0746">
              <w:t>n</w:t>
            </w:r>
            <w:r>
              <w:t xml:space="preserve"> (Akademik kurul, toplantı,</w:t>
            </w:r>
            <w:r w:rsidR="00AE0746">
              <w:t xml:space="preserve"> panel, kurs,</w:t>
            </w:r>
            <w:r>
              <w:t xml:space="preserve"> tören vb.) birim yöneticilerinin tale</w:t>
            </w:r>
            <w:r w:rsidR="00723FDD">
              <w:t>bi doğrultusunda</w:t>
            </w:r>
            <w:r>
              <w:t xml:space="preserve"> kayıt altına al</w:t>
            </w:r>
            <w:r w:rsidR="00723FDD">
              <w:t>ınması</w:t>
            </w:r>
            <w:r>
              <w:t>, fotoğraf</w:t>
            </w:r>
            <w:r w:rsidR="00723FDD">
              <w:t>lanması</w:t>
            </w:r>
            <w:r>
              <w:t>, video ve fotoğrafları</w:t>
            </w:r>
            <w:r w:rsidR="00723FDD">
              <w:t>n</w:t>
            </w:r>
            <w:r>
              <w:t xml:space="preserve"> düzenle</w:t>
            </w:r>
            <w:r w:rsidR="00723FDD">
              <w:t>nmesi,</w:t>
            </w:r>
            <w:r>
              <w:t xml:space="preserve"> çoğalt</w:t>
            </w:r>
            <w:r w:rsidR="00723FDD">
              <w:t xml:space="preserve">ılması, </w:t>
            </w:r>
            <w:r>
              <w:t>yayınla</w:t>
            </w:r>
            <w:r w:rsidR="00723FDD">
              <w:t>nması</w:t>
            </w:r>
            <w:r>
              <w:t xml:space="preserve"> vb. işleri</w:t>
            </w:r>
            <w:r w:rsidR="00723FDD">
              <w:t>n</w:t>
            </w:r>
            <w:r>
              <w:t xml:space="preserve"> </w:t>
            </w:r>
            <w:r w:rsidR="00723FDD">
              <w:t>yürütülmesi.</w:t>
            </w:r>
          </w:p>
          <w:p w:rsidR="001B737C" w:rsidRDefault="001B737C" w:rsidP="001B737C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>Fakültemizdeki Bilgisayarlarda, yazıcılarda meydana gelen donanımsal arızaların giderilmesi ve ekipmanların parça değişiminin yapılması, program yüklenmesi, toner değişimi yapılması,</w:t>
            </w:r>
          </w:p>
          <w:p w:rsidR="001B737C" w:rsidRPr="001B737C" w:rsidRDefault="001B737C" w:rsidP="001B737C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 w:rsidRPr="001B737C">
              <w:t>Cihazlardaki giderilmesi mümkün olmayan arıza, sorun ve eksiklikleri tutanakla Fakülte Sekreterine bildirilmesi,</w:t>
            </w:r>
          </w:p>
          <w:p w:rsidR="00D97E34" w:rsidRDefault="0087182D" w:rsidP="008A4CDC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>
              <w:t>Çalışma sırasında çabukluk, gizlilik ve doğrulu</w:t>
            </w:r>
            <w:r w:rsidR="001B737C">
              <w:t>k ilkelerine uygun hareket eder,</w:t>
            </w:r>
          </w:p>
          <w:p w:rsidR="00D97E34" w:rsidRDefault="0087182D" w:rsidP="008A4CDC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>
              <w:t xml:space="preserve">İş verimliliği ve barışı açısından diğer birimlerle uyum içinde </w:t>
            </w:r>
            <w:r w:rsidR="001B737C">
              <w:t>ve koordineli çalışılması,</w:t>
            </w:r>
          </w:p>
          <w:p w:rsidR="00D97E34" w:rsidRDefault="0087182D" w:rsidP="008A4CDC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>
              <w:t>Dekanlığa ya da kişilere</w:t>
            </w:r>
            <w:r w:rsidR="00311392">
              <w:t xml:space="preserve"> ait her türlü bilgi ve belgenin korunması</w:t>
            </w:r>
            <w:r>
              <w:t>, ilgisiz kişilerin eline geçmesini</w:t>
            </w:r>
            <w:r w:rsidR="00311392">
              <w:t>n önlenmesi</w:t>
            </w:r>
            <w:r>
              <w:t>, Fakülte Sekreteri veya Dekanın onayı olmadan kişilere b</w:t>
            </w:r>
            <w:r w:rsidR="00311392">
              <w:t>ilgi ve belge verilmesinin engellenmesi,</w:t>
            </w:r>
          </w:p>
          <w:p w:rsidR="0087182D" w:rsidRDefault="00723FDD" w:rsidP="008A4CDC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>
              <w:t>Bağlı olduğu üst yöneticileri tarafı</w:t>
            </w:r>
            <w:r w:rsidR="00311392">
              <w:t>ndan verilen diğer işlerin yapılması,</w:t>
            </w:r>
          </w:p>
          <w:p w:rsidR="0087182D" w:rsidRDefault="00311392" w:rsidP="00311392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  <w:r>
              <w:t>Bilgi İşlem Birimi ile ilgili günlü, ivedi yazıları takip edilmesi, yazıların teslim alınması ve tutanakların imzalanması,</w:t>
            </w:r>
          </w:p>
        </w:tc>
      </w:tr>
      <w:tr w:rsidR="00A55F36" w:rsidTr="00767D8F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B037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Yasal Dayanaklar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CF6858">
            <w:pPr>
              <w:spacing w:after="0"/>
            </w:pPr>
            <w:r>
              <w:t>Yürürlükteki yasal mevzuat.</w:t>
            </w:r>
          </w:p>
        </w:tc>
      </w:tr>
      <w:tr w:rsidR="00A55F36">
        <w:trPr>
          <w:trHeight w:val="43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6" w:rsidRDefault="001F271E" w:rsidP="001F271E">
            <w:pPr>
              <w:spacing w:after="0"/>
              <w:jc w:val="center"/>
            </w:pPr>
            <w:r>
              <w:t>Tebliğ</w:t>
            </w:r>
          </w:p>
        </w:tc>
      </w:tr>
      <w:tr w:rsidR="00A55F36">
        <w:trPr>
          <w:trHeight w:val="1117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1E" w:rsidRPr="001F271E" w:rsidRDefault="001F271E" w:rsidP="001F271E">
            <w:pPr>
              <w:spacing w:after="0"/>
              <w:jc w:val="center"/>
              <w:rPr>
                <w:b/>
              </w:rPr>
            </w:pPr>
            <w:r w:rsidRPr="001F271E">
              <w:rPr>
                <w:b/>
              </w:rPr>
              <w:t>Prof. Dr. Ümit S. Şehirli</w:t>
            </w:r>
          </w:p>
          <w:p w:rsidR="00A55F36" w:rsidRDefault="001F271E" w:rsidP="001F271E">
            <w:pPr>
              <w:spacing w:after="0"/>
              <w:jc w:val="center"/>
            </w:pPr>
            <w:r w:rsidRPr="001F271E">
              <w:rPr>
                <w:b/>
              </w:rPr>
              <w:t>Dekan</w:t>
            </w:r>
          </w:p>
        </w:tc>
      </w:tr>
    </w:tbl>
    <w:p w:rsidR="00A55F36" w:rsidRDefault="00A55F36"/>
    <w:sectPr w:rsidR="00A55F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32" w:rsidRDefault="00566B32">
      <w:pPr>
        <w:spacing w:after="0"/>
      </w:pPr>
      <w:r>
        <w:separator/>
      </w:r>
    </w:p>
  </w:endnote>
  <w:endnote w:type="continuationSeparator" w:id="0">
    <w:p w:rsidR="00566B32" w:rsidRDefault="00566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32" w:rsidRDefault="00566B3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66B32" w:rsidRDefault="00566B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D09"/>
    <w:multiLevelType w:val="multilevel"/>
    <w:tmpl w:val="668229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E65704"/>
    <w:multiLevelType w:val="hybridMultilevel"/>
    <w:tmpl w:val="0F48A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372B"/>
    <w:multiLevelType w:val="multilevel"/>
    <w:tmpl w:val="3124B0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C8D3BB5"/>
    <w:multiLevelType w:val="hybridMultilevel"/>
    <w:tmpl w:val="AEE89638"/>
    <w:lvl w:ilvl="0" w:tplc="D86884E6">
      <w:start w:val="1"/>
      <w:numFmt w:val="decimal"/>
      <w:pStyle w:val="Stil1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150F5"/>
    <w:multiLevelType w:val="hybridMultilevel"/>
    <w:tmpl w:val="07E4F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36"/>
    <w:rsid w:val="000A6AFB"/>
    <w:rsid w:val="00116A51"/>
    <w:rsid w:val="001B1BF0"/>
    <w:rsid w:val="001B737C"/>
    <w:rsid w:val="001C2D6A"/>
    <w:rsid w:val="001F271E"/>
    <w:rsid w:val="002C17A8"/>
    <w:rsid w:val="00311392"/>
    <w:rsid w:val="00354122"/>
    <w:rsid w:val="003E228B"/>
    <w:rsid w:val="0043474E"/>
    <w:rsid w:val="0048424B"/>
    <w:rsid w:val="00566B32"/>
    <w:rsid w:val="005B6785"/>
    <w:rsid w:val="005D1BD6"/>
    <w:rsid w:val="00723FDD"/>
    <w:rsid w:val="00767D8F"/>
    <w:rsid w:val="0078311A"/>
    <w:rsid w:val="007D1982"/>
    <w:rsid w:val="00802A74"/>
    <w:rsid w:val="00805640"/>
    <w:rsid w:val="0087182D"/>
    <w:rsid w:val="008A4CDC"/>
    <w:rsid w:val="008B405E"/>
    <w:rsid w:val="008F0E1C"/>
    <w:rsid w:val="0091533C"/>
    <w:rsid w:val="00A55F36"/>
    <w:rsid w:val="00A66824"/>
    <w:rsid w:val="00AE0746"/>
    <w:rsid w:val="00AF7198"/>
    <w:rsid w:val="00B037E2"/>
    <w:rsid w:val="00B14E95"/>
    <w:rsid w:val="00B35423"/>
    <w:rsid w:val="00C05C31"/>
    <w:rsid w:val="00C16567"/>
    <w:rsid w:val="00CF6858"/>
    <w:rsid w:val="00D97E34"/>
    <w:rsid w:val="00E217EC"/>
    <w:rsid w:val="00E84F92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A7D7"/>
  <w15:docId w15:val="{8B14CB69-A75F-4F4F-8BAA-84A1DFFC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customStyle="1" w:styleId="Stil1">
    <w:name w:val="Stil1"/>
    <w:basedOn w:val="Normal"/>
    <w:link w:val="Stil1Char"/>
    <w:qFormat/>
    <w:rsid w:val="00E84F92"/>
    <w:pPr>
      <w:keepNext/>
      <w:keepLines/>
      <w:numPr>
        <w:numId w:val="1"/>
      </w:numPr>
      <w:tabs>
        <w:tab w:val="left" w:pos="1155"/>
      </w:tabs>
      <w:suppressAutoHyphens w:val="0"/>
      <w:autoSpaceDN/>
      <w:spacing w:line="398" w:lineRule="exact"/>
      <w:textAlignment w:val="auto"/>
    </w:pPr>
    <w:rPr>
      <w:rFonts w:asciiTheme="minorHAnsi" w:eastAsiaTheme="minorHAnsi" w:hAnsiTheme="minorHAnsi" w:cstheme="minorBidi"/>
      <w:b/>
    </w:rPr>
  </w:style>
  <w:style w:type="character" w:customStyle="1" w:styleId="Stil1Char">
    <w:name w:val="Stil1 Char"/>
    <w:basedOn w:val="VarsaylanParagrafYazTipi"/>
    <w:link w:val="Stil1"/>
    <w:rsid w:val="00E84F92"/>
    <w:rPr>
      <w:rFonts w:asciiTheme="minorHAnsi" w:eastAsiaTheme="minorHAnsi" w:hAnsiTheme="minorHAnsi" w:cstheme="minorBidi"/>
      <w:b/>
    </w:rPr>
  </w:style>
  <w:style w:type="paragraph" w:styleId="ListeParagraf">
    <w:name w:val="List Paragraph"/>
    <w:basedOn w:val="Normal"/>
    <w:rsid w:val="0091533C"/>
    <w:pPr>
      <w:ind w:left="720"/>
    </w:pPr>
  </w:style>
  <w:style w:type="paragraph" w:styleId="stBilgi">
    <w:name w:val="header"/>
    <w:basedOn w:val="Normal"/>
    <w:link w:val="stBilgiChar"/>
    <w:unhideWhenUsed/>
    <w:rsid w:val="00116A51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rsid w:val="00116A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08ybilgic</dc:creator>
  <cp:lastModifiedBy>Toplantı_Odası</cp:lastModifiedBy>
  <cp:revision>2</cp:revision>
  <cp:lastPrinted>2022-09-09T12:16:00Z</cp:lastPrinted>
  <dcterms:created xsi:type="dcterms:W3CDTF">2023-12-07T12:19:00Z</dcterms:created>
  <dcterms:modified xsi:type="dcterms:W3CDTF">2023-12-07T12:19:00Z</dcterms:modified>
</cp:coreProperties>
</file>